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99" w:type="dxa"/>
        <w:jc w:val="center"/>
        <w:tblLayout w:type="fixed"/>
        <w:tblLook w:val="04A0" w:firstRow="1" w:lastRow="0" w:firstColumn="1" w:lastColumn="0" w:noHBand="0" w:noVBand="1"/>
      </w:tblPr>
      <w:tblGrid>
        <w:gridCol w:w="5665"/>
        <w:gridCol w:w="7934"/>
      </w:tblGrid>
      <w:tr w:rsidR="00A777A4" w:rsidTr="00C15E83">
        <w:trPr>
          <w:jc w:val="center"/>
        </w:trPr>
        <w:tc>
          <w:tcPr>
            <w:tcW w:w="5665" w:type="dxa"/>
          </w:tcPr>
          <w:p w:rsidR="00A777A4" w:rsidRPr="006A64F8" w:rsidRDefault="006A64F8">
            <w:pPr>
              <w:spacing w:after="0" w:line="240" w:lineRule="auto"/>
              <w:jc w:val="center"/>
            </w:pPr>
            <w:bookmarkStart w:id="0" w:name="_GoBack"/>
            <w:bookmarkEnd w:id="0"/>
            <w:r>
              <w:t>UBND</w:t>
            </w:r>
            <w:r w:rsidR="00FE5DDB" w:rsidRPr="006A64F8">
              <w:t xml:space="preserve"> THÀNH PHỐ HÀ NỘI</w:t>
            </w:r>
          </w:p>
          <w:p w:rsidR="00A777A4" w:rsidRDefault="00FE5DDB" w:rsidP="00265795">
            <w:pPr>
              <w:spacing w:after="0" w:line="240" w:lineRule="auto"/>
              <w:jc w:val="center"/>
            </w:pPr>
            <w:r>
              <w:rPr>
                <w:b/>
              </w:rPr>
              <w:t>SỞ NÔNG NGHIỆP VÀ MÔI TRƯỜNG</w:t>
            </w:r>
          </w:p>
        </w:tc>
        <w:tc>
          <w:tcPr>
            <w:tcW w:w="7934" w:type="dxa"/>
          </w:tcPr>
          <w:p w:rsidR="00A777A4" w:rsidRPr="00265795" w:rsidRDefault="00FE5DDB" w:rsidP="006A64F8">
            <w:pPr>
              <w:spacing w:after="0" w:line="240" w:lineRule="auto"/>
              <w:ind w:left="181" w:hanging="181"/>
              <w:jc w:val="center"/>
              <w:rPr>
                <w:b/>
              </w:rPr>
            </w:pPr>
            <w:r w:rsidRPr="00265795">
              <w:rPr>
                <w:b/>
              </w:rPr>
              <w:t>CỘNG HÒA XÃ HỘI CHỦ NGHĨA VIỆT NAM</w:t>
            </w:r>
          </w:p>
          <w:p w:rsidR="00A777A4" w:rsidRDefault="00FE5DDB" w:rsidP="00265795">
            <w:pPr>
              <w:spacing w:after="0" w:line="240" w:lineRule="auto"/>
              <w:jc w:val="center"/>
            </w:pPr>
            <w:r w:rsidRPr="00265795">
              <w:rPr>
                <w:b/>
              </w:rPr>
              <w:t>Độc lập - Tự do - Hạnh phúc</w:t>
            </w:r>
          </w:p>
        </w:tc>
      </w:tr>
      <w:tr w:rsidR="00265795" w:rsidRPr="00265795" w:rsidTr="00C15E83">
        <w:trPr>
          <w:jc w:val="center"/>
        </w:trPr>
        <w:tc>
          <w:tcPr>
            <w:tcW w:w="5665" w:type="dxa"/>
          </w:tcPr>
          <w:p w:rsidR="00265795" w:rsidRPr="00265795" w:rsidRDefault="00265795" w:rsidP="00265795">
            <w:pPr>
              <w:spacing w:before="240" w:after="0" w:line="240" w:lineRule="auto"/>
              <w:jc w:val="center"/>
            </w:pPr>
          </w:p>
        </w:tc>
        <w:tc>
          <w:tcPr>
            <w:tcW w:w="7934" w:type="dxa"/>
          </w:tcPr>
          <w:p w:rsidR="00265795" w:rsidRPr="00265795" w:rsidRDefault="00265795" w:rsidP="00265795">
            <w:pPr>
              <w:spacing w:before="240" w:after="0" w:line="240" w:lineRule="auto"/>
              <w:ind w:left="181" w:hanging="181"/>
              <w:jc w:val="center"/>
            </w:pPr>
            <w:r w:rsidRPr="00265795">
              <w:t>Hà Nội, ngày      tháng      năm 2026</w:t>
            </w:r>
          </w:p>
        </w:tc>
      </w:tr>
    </w:tbl>
    <w:p w:rsidR="00A777A4" w:rsidRDefault="00A777A4"/>
    <w:p w:rsidR="00C15E83" w:rsidRPr="0072298C" w:rsidRDefault="00FE5DDB" w:rsidP="00CC1FEF">
      <w:pPr>
        <w:spacing w:after="120" w:line="240" w:lineRule="auto"/>
        <w:jc w:val="center"/>
        <w:rPr>
          <w:rFonts w:cs="Times New Roman"/>
          <w:b/>
          <w:color w:val="000000" w:themeColor="text1"/>
        </w:rPr>
      </w:pPr>
      <w:r>
        <w:rPr>
          <w:b/>
          <w:sz w:val="28"/>
        </w:rPr>
        <w:t xml:space="preserve">BẢN SO SÁNH, THUYẾT MINH DỰ THẢO </w:t>
      </w:r>
      <w:r w:rsidR="00CC1FEF">
        <w:rPr>
          <w:b/>
          <w:sz w:val="28"/>
        </w:rPr>
        <w:t xml:space="preserve">NGHỊ QUYẾT </w:t>
      </w:r>
      <w:r w:rsidR="00CC1FEF" w:rsidRPr="0072298C">
        <w:rPr>
          <w:rFonts w:cs="Times New Roman"/>
          <w:b/>
          <w:color w:val="000000" w:themeColor="text1"/>
        </w:rPr>
        <w:t>QUY ĐỊNH VỀ QUẢN LÝ, BẢO VỆ, KHAI THÁC, SỬ DỤNG VÀ PHÁT TRIỂN BỀN VỮNG</w:t>
      </w:r>
      <w:r w:rsidR="00CC1FEF">
        <w:rPr>
          <w:rFonts w:cs="Times New Roman"/>
          <w:b/>
          <w:color w:val="000000" w:themeColor="text1"/>
        </w:rPr>
        <w:t xml:space="preserve"> </w:t>
      </w:r>
      <w:r w:rsidR="00CC1FEF" w:rsidRPr="0072298C">
        <w:rPr>
          <w:rFonts w:cs="Times New Roman"/>
          <w:b/>
          <w:color w:val="000000" w:themeColor="text1"/>
        </w:rPr>
        <w:t>TOÀN BỘ DIỆN TÍCH RỪNG TRÊN ĐỊA BÀN THÀNH PHỐ HÀ NỘI</w:t>
      </w:r>
    </w:p>
    <w:p w:rsidR="00C15E83" w:rsidRPr="0072298C" w:rsidRDefault="00C15E83" w:rsidP="00C15E83">
      <w:pPr>
        <w:spacing w:before="60" w:after="0" w:line="240" w:lineRule="auto"/>
        <w:jc w:val="center"/>
        <w:rPr>
          <w:rFonts w:cs="Times New Roman"/>
          <w:color w:val="000000" w:themeColor="text1"/>
        </w:rPr>
      </w:pPr>
      <w:r w:rsidRPr="0072298C">
        <w:rPr>
          <w:rFonts w:cs="Times New Roman"/>
          <w:i/>
          <w:color w:val="000000" w:themeColor="text1"/>
        </w:rPr>
        <w:t>(Thực hiện theo điểm g khoản 2 Điều 24 của Luật Thủ đô số …../2026/QH16)</w:t>
      </w:r>
    </w:p>
    <w:p w:rsidR="00A777A4" w:rsidRDefault="00A777A4">
      <w:pPr>
        <w:spacing w:after="60" w:line="240" w:lineRule="auto"/>
      </w:pPr>
    </w:p>
    <w:tbl>
      <w:tblPr>
        <w:tblW w:w="15016" w:type="dxa"/>
        <w:jc w:val="center"/>
        <w:tblLayout w:type="fixed"/>
        <w:tblLook w:val="04A0" w:firstRow="1" w:lastRow="0" w:firstColumn="1" w:lastColumn="0" w:noHBand="0" w:noVBand="1"/>
      </w:tblPr>
      <w:tblGrid>
        <w:gridCol w:w="3118"/>
        <w:gridCol w:w="3118"/>
        <w:gridCol w:w="8780"/>
      </w:tblGrid>
      <w:tr w:rsidR="00A777A4" w:rsidTr="00C15E83">
        <w:trPr>
          <w:tblHeader/>
          <w:jc w:val="center"/>
        </w:trPr>
        <w:tc>
          <w:tcPr>
            <w:tcW w:w="3118" w:type="dxa"/>
            <w:tcBorders>
              <w:top w:val="single" w:sz="8" w:space="0" w:color="000000"/>
              <w:left w:val="single" w:sz="8" w:space="0" w:color="000000"/>
              <w:bottom w:val="single" w:sz="8" w:space="0" w:color="000000"/>
              <w:right w:val="single" w:sz="8" w:space="0" w:color="000000"/>
            </w:tcBorders>
            <w:shd w:val="clear" w:color="auto" w:fill="D9D9D9"/>
          </w:tcPr>
          <w:p w:rsidR="00A777A4" w:rsidRDefault="00FE5DDB" w:rsidP="00C15E83">
            <w:pPr>
              <w:spacing w:after="0" w:line="240" w:lineRule="auto"/>
              <w:jc w:val="center"/>
            </w:pPr>
            <w:r>
              <w:rPr>
                <w:b/>
                <w:sz w:val="24"/>
              </w:rPr>
              <w:t>QUY PHẠM PHÁP</w:t>
            </w:r>
          </w:p>
          <w:p w:rsidR="00A777A4" w:rsidRDefault="00FE5DDB" w:rsidP="00C15E83">
            <w:pPr>
              <w:spacing w:after="0" w:line="240" w:lineRule="auto"/>
              <w:jc w:val="center"/>
            </w:pPr>
            <w:r>
              <w:rPr>
                <w:b/>
                <w:sz w:val="24"/>
              </w:rPr>
              <w:t>LUẬT HIỆN HÀNH</w:t>
            </w:r>
          </w:p>
        </w:tc>
        <w:tc>
          <w:tcPr>
            <w:tcW w:w="3118" w:type="dxa"/>
            <w:tcBorders>
              <w:top w:val="single" w:sz="8" w:space="0" w:color="000000"/>
              <w:left w:val="single" w:sz="8" w:space="0" w:color="000000"/>
              <w:bottom w:val="single" w:sz="8" w:space="0" w:color="000000"/>
              <w:right w:val="single" w:sz="8" w:space="0" w:color="000000"/>
            </w:tcBorders>
            <w:shd w:val="clear" w:color="auto" w:fill="D9D9D9"/>
          </w:tcPr>
          <w:p w:rsidR="00A777A4" w:rsidRDefault="00FE5DDB">
            <w:pPr>
              <w:spacing w:after="0" w:line="240" w:lineRule="auto"/>
              <w:jc w:val="center"/>
            </w:pPr>
            <w:r>
              <w:rPr>
                <w:b/>
                <w:sz w:val="24"/>
              </w:rPr>
              <w:t>DỰ THẢO VĂN BẢN</w:t>
            </w:r>
          </w:p>
        </w:tc>
        <w:tc>
          <w:tcPr>
            <w:tcW w:w="8780" w:type="dxa"/>
            <w:tcBorders>
              <w:top w:val="single" w:sz="8" w:space="0" w:color="000000"/>
              <w:left w:val="single" w:sz="8" w:space="0" w:color="000000"/>
              <w:bottom w:val="single" w:sz="8" w:space="0" w:color="000000"/>
              <w:right w:val="single" w:sz="8" w:space="0" w:color="000000"/>
            </w:tcBorders>
            <w:shd w:val="clear" w:color="auto" w:fill="D9D9D9"/>
          </w:tcPr>
          <w:p w:rsidR="00A777A4" w:rsidRDefault="00FE5DDB" w:rsidP="00C15E83">
            <w:pPr>
              <w:spacing w:after="0" w:line="240" w:lineRule="auto"/>
              <w:jc w:val="center"/>
            </w:pPr>
            <w:r>
              <w:rPr>
                <w:b/>
                <w:sz w:val="24"/>
              </w:rPr>
              <w:t>THUYẾT MINH</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Luật Lâm nghiệp năm 2017; Nghị định số 156/2018/NĐ-CP và các văn bản sửa đổi, bổ sung; Nghị quyết số 54/2025/NQ-HĐND.</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1, Điều 2, Điều 3.</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Dự thảo là văn bản ban hành mới, xác định phạm vi điều chỉnh đối với toàn bộ diện tích rừng trên địa bàn Thành phố và nhóm đối tượng áp dụng. Đồng thời khẳng định nguyên tắc quản lý chuyên ngành thực hiện thống nhất theo pháp luật lâm nghiệp hiện hành. Không quy định lại hồ sơ, trình tự, thủ tục, thẩm quyền chuyên ngành; không phát sinh thủ tục hành chính mới. Quan hệ kế thừa với Nghị quyết số 54/2025/NQ-HĐND được xử lý theo điều khoản chuyển tiếp.</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Nghị định số 58/2024/NĐ-CP; Nghị định số 42/2026/NĐ-CP; Nghị quyết số 54/2025/NQ-HĐND.</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4.</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Quy định hỗ trợ công tác bảo vệ rừng, phòng cháy và chữa cháy rừng, chữa cháy rừng và ứng dụng khoa học, công nghệ số trong quản lý rừng. Nội dung được xây dựng trên cơ sở kế thừa mức hỗ trợ đã có của Thành phố, đồng thời cập nhật các khoản chi phát sinh mới theo Nghị định số 42/2026/NĐ-CP. Có nội dung hỗ trợ bổ sung cho lực lượng trực tiếp chữa cháy rừng và phục vụ chữa cháy rừng phù hợp điều kiện của Hà Nội.</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Nghị định số 58/2024/NĐ-CP; Nghị định số 42/2026/NĐ-CP; Thông tư số 21/2023/TT-BNNPTNT.</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5.</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Quy định hỗ trợ phát triển rừng, gồm trồng rừng mới, khoanh nuôi xúc tiến tái sinh tự nhiên, khoanh nuôi xúc tiến tái sinh tự nhiên có trồng bổ sung, trồng làm giàu rừng, cải tạo rừng, phục hồi hệ sinh thái rừng, trồng cây phân tán và cây xanh lâm nghiệp đô thị. Nội dung kế thừa chính sách hiện hành, đồng thời cập nhật mức hỗ trợ khoanh nuôi xúc tiến tái sinh tự nhiên và chi phí quản lý, kiểm tra, nghiệm thu theo quy định mới.</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Luật Lâm nghiệp năm 2017; Nghị định số 156/2018/NĐ-CP; Nghị định số 58/2024/NĐ-CP.</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6.</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 xml:space="preserve">Quy định hỗ trợ đầu tư đề án du lịch sinh thái, nghỉ dưỡng, giải trí trong rừng. Nội dung chỉ hỗ trợ các hạng mục trực tiếp phục vụ bảo vệ rừng, bảo tồn thiên nhiên, giáo dục môi trường, vệ sinh môi trường, phòng cháy và chữa cháy rừng, cứu nạn, cứu hộ và chuyển </w:t>
            </w:r>
            <w:r>
              <w:rPr>
                <w:sz w:val="24"/>
              </w:rPr>
              <w:lastRenderedPageBreak/>
              <w:t>đổi số; không mở rộng sang công trình thương mại thuần túy hoặc nội dung trái quy định của pháp luật lâm nghiệp.</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lastRenderedPageBreak/>
              <w:t>Luật Ngân sách nhà nước; pháp luật hiện hành về hỗ trợ lãi suất từ ngân sách địa phương; quy định hiện hành về tín dụng.</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7.</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Quy định hỗ trợ tín dụng để thực hiện đề án du lịch sinh thái, nghỉ dưỡng, giải trí trong rừng đối với hạng mục đủ điều kiện. Dự thảo chỉ quy định nguyên tắc, thời gian và mức hỗ trợ lãi suất tối đa, điều kiện chung; hồ sơ vay vốn, giải ngân, trả lãi tiếp tục thực hiện theo pháp luật chuyên ngành về tín dụng, không tạo thủ tục tín dụng riêng của Thành phố.</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Điều 25 Nghị định số 58/2024/NĐ-CP; Nghị định số 42/2026/NĐ-CP.</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8.</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Quy định hỗ trợ các hoạt động chuyên ngành khác trong lâm nghiệp như lập và điều chỉnh phương án quản lý rừng bền vững; điều tra, kiểm kê, xây dựng cơ sở dữ liệu rừng; bảo tồn đa dạng sinh học rừng, nguồn gen quý hiếm; phát triển dược liệu, lâm sản ngoài gỗ dưới tán rừng; phát triển sinh kế vùng đệm rừng đặc dụng. Nội dung đã được rà soát để tránh trùng lặp với các điều về bảo vệ rừng, phát triển rừng, du lịch sinh thái và hỗ trợ tín dụng.</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Chủ trương chuyển đổi số; quy định của pháp luật hiện hành về khoa học, công nghệ, dữ liệu số và pháp luật lâm nghiệp.</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9.</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Bổ sung điều riêng về hỗ trợ khoa học, công nghệ và chuyển đổi số trong lâm nghiệp, gồm GIS, viễn thám, trí tuệ nhân tạo, cơ sở dữ liệu rừng, bản đồ số, truy xuất nguồn gốc, đào tạo và chuyển giao công nghệ. Đây là nội dung ban hành mới để đáp ứng yêu cầu quản trị số, giám sát rừng và cảnh báo sớm của Hà Nội; đồng thời khuyến khích ứng dụng, thúc đẩy phát triển khoa học, công nghệ, đổi mới sáng tạo và chuyển đổi số.</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Luật Lâm nghiệp năm 2017; Nghị định số 156/2018/NĐ-CP; pháp luật hiện hành về tổ chức đơn vị sự nghiệp công lập, quản lý rừng đặc dụng, đất đai, đầu tư, tài sản công.</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10.</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Quy định theo hướng dự phòng đối với diện tích rừng tại Vườn Quốc gia Ba Vì sau khi có quyết định của cấp có thẩm quyền về việc chuyển giao về Thành phố quản lý. Nội dung xác định nguyên tắc tiếp nhận nguyên trạng, tổ chức quản lý chuyển tiếp, rà soát quy hoạch, phát triển kinh tế dưới tán rừng đúng pháp luật và xử lý hồ sơ, hợp đồng, thủ tục đang thực hiện; không làm phát sinh nghĩa vụ, thủ tục hay thẩm quyền mới ngay tại thời điểm ban hành nghị quyết.</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Luật Lâm nghiệp năm 2017; Nghị định số 156/2018/NĐ-CP và các văn bản sửa đổi, bổ sung.</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t>Điều 11.</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Khẳng định việc quản lý, bảo vệ, khai thác, sử dụng và phát triển diện tích rừng còn lại trên địa bàn Thành phố được thực hiện thống nhất theo pháp luật lâm nghiệp hiện hành; đồng thời nhấn mạnh trách nhiệm phối hợp bảo vệ ranh giới rừng, đất lâm nghiệp và xử lý vi phạm. Nội dung này nhằm bảo đảm mạch logic của dự thảo sau khi bổ sung Điều 10 riêng cho Vườn Quốc gia Ba Vì.</w:t>
            </w:r>
          </w:p>
        </w:tc>
      </w:tr>
      <w:tr w:rsidR="00A777A4" w:rsidTr="00C15E83">
        <w:trPr>
          <w:jc w:val="center"/>
        </w:trPr>
        <w:tc>
          <w:tcPr>
            <w:tcW w:w="3118"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center"/>
            </w:pPr>
            <w:r>
              <w:rPr>
                <w:sz w:val="24"/>
              </w:rPr>
              <w:t xml:space="preserve">Luật Ngân sách nhà nước; Nghị quyết số 54/2025/NQ-HĐND; pháp luật hiện hành </w:t>
            </w:r>
            <w:r>
              <w:rPr>
                <w:sz w:val="24"/>
              </w:rPr>
              <w:lastRenderedPageBreak/>
              <w:t>về tổ chức thực hiện và hiệu lực thi hành văn bản.</w:t>
            </w:r>
          </w:p>
        </w:tc>
        <w:tc>
          <w:tcPr>
            <w:tcW w:w="3118" w:type="dxa"/>
            <w:tcBorders>
              <w:top w:val="single" w:sz="8" w:space="0" w:color="000000"/>
              <w:left w:val="single" w:sz="8" w:space="0" w:color="000000"/>
              <w:bottom w:val="single" w:sz="8" w:space="0" w:color="000000"/>
              <w:right w:val="single" w:sz="8" w:space="0" w:color="000000"/>
            </w:tcBorders>
          </w:tcPr>
          <w:p w:rsidR="00A777A4" w:rsidRDefault="00FE5DDB">
            <w:pPr>
              <w:spacing w:after="0" w:line="240" w:lineRule="auto"/>
            </w:pPr>
            <w:r>
              <w:rPr>
                <w:sz w:val="24"/>
              </w:rPr>
              <w:lastRenderedPageBreak/>
              <w:t>Điều 12, Điều 13, Điều 14, Điều 15.</w:t>
            </w:r>
          </w:p>
        </w:tc>
        <w:tc>
          <w:tcPr>
            <w:tcW w:w="8780" w:type="dxa"/>
            <w:tcBorders>
              <w:top w:val="single" w:sz="8" w:space="0" w:color="000000"/>
              <w:left w:val="single" w:sz="8" w:space="0" w:color="000000"/>
              <w:bottom w:val="single" w:sz="8" w:space="0" w:color="000000"/>
              <w:right w:val="single" w:sz="8" w:space="0" w:color="000000"/>
            </w:tcBorders>
          </w:tcPr>
          <w:p w:rsidR="00A777A4" w:rsidRDefault="00FE5DDB" w:rsidP="00C15E83">
            <w:pPr>
              <w:spacing w:after="0" w:line="240" w:lineRule="auto"/>
              <w:jc w:val="both"/>
            </w:pPr>
            <w:r>
              <w:rPr>
                <w:sz w:val="24"/>
              </w:rPr>
              <w:t xml:space="preserve">Quy định về nguồn kinh phí, tổ chức thực hiện, điều khoản chuyển tiếp và hiệu lực thi hành. Nội dung được chỉnh lý theo hướng: làm rõ nguồn kinh phí thực hiện; phân công trách nhiệm cho Ủy ban nhân dân Thành phố, Sở Nông nghiệp và Môi trường, các cơ quan </w:t>
            </w:r>
            <w:r>
              <w:rPr>
                <w:sz w:val="24"/>
              </w:rPr>
              <w:lastRenderedPageBreak/>
              <w:t>liên quan và Ủy ban nhân dân cấp xã; khẳng định tiếp tục áp dụng Nghị quyết số 54/2025/NQ-HĐND đối với nội dung, mức chi không trái với nghị quyết mới; không viết hồi tố.</w:t>
            </w:r>
          </w:p>
        </w:tc>
      </w:tr>
    </w:tbl>
    <w:p w:rsidR="00A777A4" w:rsidRDefault="00A777A4" w:rsidP="00C15E83">
      <w:pPr>
        <w:spacing w:before="120" w:after="0"/>
      </w:pPr>
    </w:p>
    <w:sectPr w:rsidR="00A777A4" w:rsidSect="00265795">
      <w:pgSz w:w="16838" w:h="11906" w:orient="landscape"/>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65795"/>
    <w:rsid w:val="0029639D"/>
    <w:rsid w:val="00326F90"/>
    <w:rsid w:val="006A64F8"/>
    <w:rsid w:val="00A657A6"/>
    <w:rsid w:val="00A777A4"/>
    <w:rsid w:val="00AA1D8D"/>
    <w:rsid w:val="00B47730"/>
    <w:rsid w:val="00C15E83"/>
    <w:rsid w:val="00CB0664"/>
    <w:rsid w:val="00CC1FEF"/>
    <w:rsid w:val="00FC693F"/>
    <w:rsid w:val="00FE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94F7FA9-2259-47B6-B4BC-3C8602B9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9AD7-275C-4F7F-8EC8-C9037EBE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2026-04-29T02:56:00Z</dcterms:created>
  <dcterms:modified xsi:type="dcterms:W3CDTF">2026-04-29T02:56:00Z</dcterms:modified>
  <cp:category/>
</cp:coreProperties>
</file>